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9B8" w:rsidRPr="006F45AB" w:rsidRDefault="00E109B8" w:rsidP="00E109B8">
      <w:pPr>
        <w:spacing w:line="276" w:lineRule="auto"/>
        <w:rPr>
          <w:rFonts w:ascii="Calibri" w:hAnsi="Calibri" w:cs="Calibri"/>
          <w:b/>
          <w:sz w:val="36"/>
          <w:szCs w:val="36"/>
        </w:rPr>
      </w:pPr>
      <w:bookmarkStart w:id="0" w:name="_GoBack"/>
      <w:bookmarkEnd w:id="0"/>
      <w:r w:rsidRPr="006F45AB">
        <w:rPr>
          <w:rFonts w:ascii="Calibri" w:hAnsi="Calibri" w:cs="Calibri"/>
          <w:b/>
          <w:sz w:val="36"/>
          <w:szCs w:val="36"/>
        </w:rPr>
        <w:t>Delft University of Technology</w:t>
      </w:r>
    </w:p>
    <w:p w:rsidR="00E109B8" w:rsidRPr="00E85861" w:rsidRDefault="00E109B8" w:rsidP="00E109B8">
      <w:pPr>
        <w:spacing w:line="276" w:lineRule="auto"/>
        <w:rPr>
          <w:rFonts w:ascii="Calibri" w:hAnsi="Calibri" w:cs="Calibri"/>
          <w:sz w:val="22"/>
          <w:szCs w:val="22"/>
        </w:rPr>
      </w:pPr>
      <w:r w:rsidRPr="00E85861">
        <w:rPr>
          <w:rFonts w:ascii="Calibri" w:hAnsi="Calibri" w:cs="Calibri"/>
          <w:sz w:val="22"/>
          <w:szCs w:val="22"/>
        </w:rPr>
        <w:t>Faculty of Technology, Policy and Management</w:t>
      </w:r>
    </w:p>
    <w:p w:rsidR="00E109B8" w:rsidRDefault="00E109B8" w:rsidP="00E109B8">
      <w:pPr>
        <w:spacing w:line="276" w:lineRule="auto"/>
        <w:rPr>
          <w:rFonts w:ascii="Calibri" w:hAnsi="Calibri" w:cs="Calibri"/>
          <w:sz w:val="22"/>
          <w:szCs w:val="22"/>
        </w:rPr>
      </w:pPr>
    </w:p>
    <w:p w:rsidR="00E109B8" w:rsidRPr="00E85861" w:rsidRDefault="00E109B8" w:rsidP="00E109B8">
      <w:pPr>
        <w:spacing w:line="276" w:lineRule="auto"/>
        <w:rPr>
          <w:rFonts w:ascii="Calibri" w:hAnsi="Calibri" w:cs="Calibri"/>
          <w:sz w:val="22"/>
          <w:szCs w:val="22"/>
        </w:rPr>
      </w:pPr>
      <w:r w:rsidRPr="00E85861">
        <w:rPr>
          <w:rFonts w:ascii="Calibri" w:hAnsi="Calibri" w:cs="Calibri"/>
          <w:sz w:val="22"/>
          <w:szCs w:val="22"/>
        </w:rPr>
        <w:t>Course manager: Nienke Saanen</w:t>
      </w:r>
    </w:p>
    <w:p w:rsidR="00E109B8" w:rsidRDefault="00E109B8" w:rsidP="00E109B8">
      <w:pPr>
        <w:spacing w:line="276" w:lineRule="auto"/>
        <w:rPr>
          <w:rFonts w:ascii="Calibri" w:hAnsi="Calibri" w:cs="Calibri"/>
          <w:sz w:val="22"/>
          <w:szCs w:val="22"/>
        </w:rPr>
      </w:pPr>
    </w:p>
    <w:p w:rsidR="002B78FA" w:rsidRPr="00E85861" w:rsidRDefault="002B78FA" w:rsidP="00E109B8">
      <w:pPr>
        <w:spacing w:line="276" w:lineRule="auto"/>
        <w:rPr>
          <w:rFonts w:ascii="Calibri" w:hAnsi="Calibri" w:cs="Calibri"/>
          <w:sz w:val="22"/>
          <w:szCs w:val="22"/>
        </w:rPr>
      </w:pPr>
      <w:r w:rsidRPr="00FD6CFC">
        <w:rPr>
          <w:rFonts w:ascii="Calibri" w:hAnsi="Calibri" w:cs="Calibri"/>
          <w:b/>
          <w:sz w:val="22"/>
          <w:szCs w:val="22"/>
        </w:rPr>
        <w:t>Course</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t>SPM4423</w:t>
      </w:r>
    </w:p>
    <w:p w:rsidR="00E109B8" w:rsidRDefault="002B78FA" w:rsidP="00E109B8">
      <w:pPr>
        <w:spacing w:line="276" w:lineRule="auto"/>
        <w:rPr>
          <w:rFonts w:ascii="Calibri" w:hAnsi="Calibri" w:cs="Calibri"/>
          <w:sz w:val="22"/>
          <w:szCs w:val="22"/>
        </w:rPr>
      </w:pPr>
      <w:r w:rsidRPr="00FD6CFC">
        <w:rPr>
          <w:rFonts w:ascii="Calibri" w:hAnsi="Calibri" w:cs="Calibri"/>
          <w:b/>
          <w:sz w:val="22"/>
          <w:szCs w:val="22"/>
        </w:rPr>
        <w:t>Date</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sidR="00E109B8">
        <w:rPr>
          <w:rFonts w:ascii="Calibri" w:hAnsi="Calibri" w:cs="Calibri"/>
          <w:sz w:val="22"/>
          <w:szCs w:val="22"/>
        </w:rPr>
        <w:t>10 April 2013</w:t>
      </w:r>
      <w:r w:rsidR="00E109B8" w:rsidRPr="00E85861">
        <w:rPr>
          <w:rFonts w:ascii="Calibri" w:hAnsi="Calibri" w:cs="Calibri"/>
          <w:sz w:val="22"/>
          <w:szCs w:val="22"/>
        </w:rPr>
        <w:t>, 9.00 – 12.00 a.m.</w:t>
      </w:r>
    </w:p>
    <w:p w:rsidR="002B78FA" w:rsidRPr="00E85861" w:rsidRDefault="002B78FA" w:rsidP="00E109B8">
      <w:pPr>
        <w:spacing w:line="276" w:lineRule="auto"/>
        <w:rPr>
          <w:rFonts w:ascii="Calibri" w:hAnsi="Calibri" w:cs="Calibri"/>
          <w:sz w:val="22"/>
          <w:szCs w:val="22"/>
        </w:rPr>
      </w:pPr>
      <w:r w:rsidRPr="00FD6CFC">
        <w:rPr>
          <w:rFonts w:ascii="Calibri" w:hAnsi="Calibri" w:cs="Calibri"/>
          <w:b/>
          <w:sz w:val="22"/>
          <w:szCs w:val="22"/>
        </w:rPr>
        <w:t>Location</w:t>
      </w:r>
      <w:r>
        <w:rPr>
          <w:rFonts w:ascii="Calibri" w:hAnsi="Calibri" w:cs="Calibri"/>
          <w:sz w:val="22"/>
          <w:szCs w:val="22"/>
        </w:rPr>
        <w:t>:</w:t>
      </w:r>
      <w:r>
        <w:rPr>
          <w:rFonts w:ascii="Calibri" w:hAnsi="Calibri" w:cs="Calibri"/>
          <w:sz w:val="22"/>
          <w:szCs w:val="22"/>
        </w:rPr>
        <w:tab/>
        <w:t>TN-TZ 4.25</w:t>
      </w:r>
    </w:p>
    <w:p w:rsidR="00E109B8" w:rsidRPr="00E85861" w:rsidRDefault="00E109B8" w:rsidP="00E109B8">
      <w:pPr>
        <w:pBdr>
          <w:bottom w:val="single" w:sz="4" w:space="1" w:color="auto"/>
        </w:pBdr>
        <w:spacing w:line="276" w:lineRule="auto"/>
        <w:rPr>
          <w:rFonts w:ascii="Calibri" w:hAnsi="Calibri" w:cs="Calibri"/>
          <w:sz w:val="22"/>
          <w:szCs w:val="22"/>
        </w:rPr>
      </w:pPr>
    </w:p>
    <w:p w:rsidR="00E109B8" w:rsidRPr="00E85861" w:rsidRDefault="00E109B8" w:rsidP="00E109B8">
      <w:pPr>
        <w:spacing w:line="276" w:lineRule="auto"/>
        <w:rPr>
          <w:rFonts w:ascii="Calibri" w:hAnsi="Calibri" w:cs="Calibri"/>
          <w:sz w:val="22"/>
          <w:szCs w:val="22"/>
        </w:rPr>
      </w:pPr>
    </w:p>
    <w:p w:rsidR="00E109B8" w:rsidRPr="00E85861" w:rsidRDefault="00E109B8" w:rsidP="00E109B8">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The exam consists of:</w:t>
      </w:r>
    </w:p>
    <w:p w:rsidR="00E109B8" w:rsidRPr="00E85861" w:rsidRDefault="00E109B8" w:rsidP="00E109B8">
      <w:pPr>
        <w:pStyle w:val="NormalWeb"/>
        <w:spacing w:before="0" w:beforeAutospacing="0" w:after="0" w:afterAutospacing="0" w:line="276" w:lineRule="auto"/>
        <w:rPr>
          <w:rFonts w:ascii="Calibri" w:hAnsi="Calibri" w:cs="Calibri"/>
          <w:sz w:val="22"/>
          <w:szCs w:val="22"/>
        </w:rPr>
      </w:pPr>
    </w:p>
    <w:p w:rsidR="00E109B8" w:rsidRPr="00E85861" w:rsidRDefault="00E109B8" w:rsidP="00E109B8">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A.</w:t>
      </w:r>
      <w:r w:rsidR="002B78FA">
        <w:rPr>
          <w:rFonts w:ascii="Calibri" w:hAnsi="Calibri" w:cs="Calibri"/>
          <w:sz w:val="22"/>
          <w:szCs w:val="22"/>
        </w:rPr>
        <w:t xml:space="preserve"> </w:t>
      </w:r>
      <w:r>
        <w:rPr>
          <w:rFonts w:ascii="Calibri" w:hAnsi="Calibri" w:cs="Calibri"/>
          <w:sz w:val="22"/>
          <w:szCs w:val="22"/>
        </w:rPr>
        <w:t xml:space="preserve"> </w:t>
      </w:r>
      <w:r w:rsidR="002B78FA">
        <w:rPr>
          <w:rFonts w:ascii="Calibri" w:hAnsi="Calibri" w:cs="Calibri"/>
          <w:sz w:val="22"/>
          <w:szCs w:val="22"/>
        </w:rPr>
        <w:t xml:space="preserve">3 </w:t>
      </w:r>
      <w:r w:rsidRPr="00E85861">
        <w:rPr>
          <w:rFonts w:ascii="Calibri" w:hAnsi="Calibri" w:cs="Calibri"/>
          <w:sz w:val="22"/>
          <w:szCs w:val="22"/>
        </w:rPr>
        <w:t>open questions</w:t>
      </w:r>
      <w:r>
        <w:rPr>
          <w:rFonts w:ascii="Calibri" w:hAnsi="Calibri" w:cs="Calibri"/>
          <w:sz w:val="22"/>
          <w:szCs w:val="22"/>
        </w:rPr>
        <w:t xml:space="preserve"> (</w:t>
      </w:r>
      <w:r w:rsidR="002B78FA">
        <w:rPr>
          <w:rFonts w:ascii="Calibri" w:hAnsi="Calibri" w:cs="Calibri"/>
          <w:sz w:val="22"/>
          <w:szCs w:val="22"/>
        </w:rPr>
        <w:t>3</w:t>
      </w:r>
      <w:r>
        <w:rPr>
          <w:rFonts w:ascii="Calibri" w:hAnsi="Calibri" w:cs="Calibri"/>
          <w:sz w:val="22"/>
          <w:szCs w:val="22"/>
        </w:rPr>
        <w:t xml:space="preserve"> pages)</w:t>
      </w:r>
    </w:p>
    <w:p w:rsidR="00E109B8" w:rsidRDefault="00E109B8" w:rsidP="00E109B8">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 xml:space="preserve">B. </w:t>
      </w:r>
      <w:r w:rsidR="002B78FA">
        <w:rPr>
          <w:rFonts w:ascii="Calibri" w:hAnsi="Calibri" w:cs="Calibri"/>
          <w:sz w:val="22"/>
          <w:szCs w:val="22"/>
        </w:rPr>
        <w:t xml:space="preserve">1 </w:t>
      </w:r>
      <w:r w:rsidRPr="00E85861">
        <w:rPr>
          <w:rFonts w:ascii="Calibri" w:hAnsi="Calibri" w:cs="Calibri"/>
          <w:sz w:val="22"/>
          <w:szCs w:val="22"/>
        </w:rPr>
        <w:t>Annex (separate document)</w:t>
      </w:r>
    </w:p>
    <w:p w:rsidR="00E109B8" w:rsidRPr="00E85861" w:rsidRDefault="00E109B8" w:rsidP="00E109B8">
      <w:pPr>
        <w:pStyle w:val="NormalWeb"/>
        <w:spacing w:before="0" w:beforeAutospacing="0" w:after="0" w:afterAutospacing="0" w:line="276" w:lineRule="auto"/>
        <w:rPr>
          <w:rFonts w:ascii="Calibri" w:hAnsi="Calibri" w:cs="Calibri"/>
          <w:sz w:val="22"/>
          <w:szCs w:val="22"/>
        </w:rPr>
      </w:pPr>
    </w:p>
    <w:p w:rsidR="00E109B8" w:rsidRDefault="00E109B8" w:rsidP="00E109B8">
      <w:pPr>
        <w:pStyle w:val="NormalWeb"/>
        <w:spacing w:before="0" w:beforeAutospacing="0" w:after="0" w:afterAutospacing="0" w:line="276" w:lineRule="auto"/>
        <w:rPr>
          <w:rFonts w:ascii="Calibri" w:hAnsi="Calibri" w:cs="Calibri"/>
          <w:sz w:val="22"/>
          <w:szCs w:val="22"/>
        </w:rPr>
      </w:pPr>
      <w:r w:rsidRPr="00E85861">
        <w:rPr>
          <w:rFonts w:ascii="Calibri" w:hAnsi="Calibri" w:cs="Calibri"/>
          <w:sz w:val="22"/>
          <w:szCs w:val="22"/>
        </w:rPr>
        <w:t xml:space="preserve">You can receive a maximum of </w:t>
      </w:r>
      <w:r>
        <w:rPr>
          <w:rFonts w:ascii="Calibri" w:hAnsi="Calibri" w:cs="Calibri"/>
          <w:sz w:val="22"/>
          <w:szCs w:val="22"/>
        </w:rPr>
        <w:t>100</w:t>
      </w:r>
      <w:r w:rsidRPr="00E85861">
        <w:rPr>
          <w:rFonts w:ascii="Calibri" w:hAnsi="Calibri" w:cs="Calibri"/>
          <w:sz w:val="22"/>
          <w:szCs w:val="22"/>
        </w:rPr>
        <w:t xml:space="preserve"> points for this exam. </w:t>
      </w:r>
      <w:r>
        <w:rPr>
          <w:rFonts w:ascii="Calibri" w:hAnsi="Calibri" w:cs="Calibri"/>
          <w:sz w:val="22"/>
          <w:szCs w:val="22"/>
        </w:rPr>
        <w:t>Each question states the maximum amount of points you can receive.</w:t>
      </w:r>
      <w:r w:rsidRPr="00E85861">
        <w:rPr>
          <w:rFonts w:ascii="Calibri" w:hAnsi="Calibri" w:cs="Calibri"/>
          <w:sz w:val="22"/>
          <w:szCs w:val="22"/>
        </w:rPr>
        <w:t xml:space="preserve"> The grade for this exam is determined by dividing the amount of points awarded by </w:t>
      </w:r>
      <w:r>
        <w:rPr>
          <w:rFonts w:ascii="Calibri" w:hAnsi="Calibri" w:cs="Calibri"/>
          <w:sz w:val="22"/>
          <w:szCs w:val="22"/>
        </w:rPr>
        <w:t>10.</w:t>
      </w:r>
    </w:p>
    <w:p w:rsidR="00E109B8" w:rsidRPr="00C6256E" w:rsidRDefault="00E109B8" w:rsidP="00E109B8">
      <w:pPr>
        <w:pStyle w:val="NormalWeb"/>
        <w:spacing w:before="0" w:beforeAutospacing="0" w:after="0" w:afterAutospacing="0" w:line="276" w:lineRule="auto"/>
        <w:rPr>
          <w:rFonts w:ascii="Calibri" w:hAnsi="Calibri" w:cs="Calibri"/>
          <w:sz w:val="22"/>
          <w:szCs w:val="22"/>
        </w:rPr>
      </w:pPr>
    </w:p>
    <w:p w:rsidR="00E109B8" w:rsidRPr="00E85861" w:rsidRDefault="00E109B8" w:rsidP="00E109B8">
      <w:pPr>
        <w:spacing w:line="276" w:lineRule="auto"/>
        <w:rPr>
          <w:rFonts w:ascii="Calibri" w:hAnsi="Calibri" w:cs="Calibri"/>
          <w:sz w:val="22"/>
          <w:szCs w:val="22"/>
        </w:rPr>
      </w:pPr>
      <w:r w:rsidRPr="00E85861">
        <w:rPr>
          <w:rFonts w:ascii="Calibri" w:hAnsi="Calibri" w:cs="Calibri"/>
          <w:sz w:val="22"/>
          <w:szCs w:val="22"/>
        </w:rPr>
        <w:t xml:space="preserve">The answers to the questions </w:t>
      </w:r>
      <w:r>
        <w:rPr>
          <w:rFonts w:ascii="Calibri" w:hAnsi="Calibri" w:cs="Calibri"/>
          <w:sz w:val="22"/>
          <w:szCs w:val="22"/>
        </w:rPr>
        <w:t>are not to</w:t>
      </w:r>
      <w:r w:rsidRPr="00E85861">
        <w:rPr>
          <w:rFonts w:ascii="Calibri" w:hAnsi="Calibri" w:cs="Calibri"/>
          <w:sz w:val="22"/>
          <w:szCs w:val="22"/>
        </w:rPr>
        <w:t xml:space="preserve"> be written </w:t>
      </w:r>
      <w:r>
        <w:rPr>
          <w:rFonts w:ascii="Calibri" w:hAnsi="Calibri" w:cs="Calibri"/>
          <w:sz w:val="22"/>
          <w:szCs w:val="22"/>
        </w:rPr>
        <w:t xml:space="preserve">on this exam, but </w:t>
      </w:r>
      <w:r w:rsidRPr="00E85861">
        <w:rPr>
          <w:rFonts w:ascii="Calibri" w:hAnsi="Calibri" w:cs="Calibri"/>
          <w:sz w:val="22"/>
          <w:szCs w:val="22"/>
        </w:rPr>
        <w:t xml:space="preserve">on </w:t>
      </w:r>
      <w:r w:rsidRPr="00E85861">
        <w:rPr>
          <w:rFonts w:ascii="Calibri" w:hAnsi="Calibri" w:cs="Calibri"/>
          <w:b/>
          <w:bCs/>
          <w:sz w:val="22"/>
          <w:szCs w:val="22"/>
          <w:u w:val="single"/>
        </w:rPr>
        <w:t>separate paper</w:t>
      </w:r>
      <w:r w:rsidRPr="00E85861">
        <w:rPr>
          <w:rFonts w:ascii="Calibri" w:hAnsi="Calibri" w:cs="Calibri"/>
          <w:sz w:val="22"/>
          <w:szCs w:val="22"/>
        </w:rPr>
        <w:t xml:space="preserve">, and should be given in correct English. Be brief but complete, and write in clear characters. Answers that cannot be read due to sloppy writing are considered wrong. </w:t>
      </w:r>
      <w:r w:rsidRPr="00A64EB1">
        <w:rPr>
          <w:rFonts w:ascii="Calibri" w:hAnsi="Calibri" w:cs="Calibri"/>
          <w:sz w:val="22"/>
          <w:szCs w:val="22"/>
        </w:rPr>
        <w:t xml:space="preserve">Make sure that your </w:t>
      </w:r>
      <w:r w:rsidRPr="00EC551B">
        <w:rPr>
          <w:rFonts w:ascii="Calibri" w:hAnsi="Calibri" w:cs="Calibri"/>
          <w:b/>
          <w:sz w:val="22"/>
          <w:szCs w:val="22"/>
          <w:u w:val="single"/>
        </w:rPr>
        <w:t>name</w:t>
      </w:r>
      <w:r w:rsidRPr="00A64EB1">
        <w:rPr>
          <w:rFonts w:ascii="Calibri" w:hAnsi="Calibri" w:cs="Calibri"/>
          <w:sz w:val="22"/>
          <w:szCs w:val="22"/>
        </w:rPr>
        <w:t xml:space="preserve"> and </w:t>
      </w:r>
      <w:r w:rsidRPr="00EC551B">
        <w:rPr>
          <w:rFonts w:ascii="Calibri" w:hAnsi="Calibri" w:cs="Calibri"/>
          <w:b/>
          <w:sz w:val="22"/>
          <w:szCs w:val="22"/>
          <w:u w:val="single"/>
        </w:rPr>
        <w:t>student number</w:t>
      </w:r>
      <w:r w:rsidRPr="00A64EB1">
        <w:rPr>
          <w:rFonts w:ascii="Calibri" w:hAnsi="Calibri" w:cs="Calibri"/>
          <w:sz w:val="22"/>
          <w:szCs w:val="22"/>
        </w:rPr>
        <w:t xml:space="preserve"> is on every </w:t>
      </w:r>
      <w:r>
        <w:rPr>
          <w:rFonts w:ascii="Calibri" w:hAnsi="Calibri" w:cs="Calibri"/>
          <w:sz w:val="22"/>
          <w:szCs w:val="22"/>
        </w:rPr>
        <w:t>piece of paper</w:t>
      </w:r>
      <w:r w:rsidRPr="00A64EB1">
        <w:rPr>
          <w:rFonts w:ascii="Calibri" w:hAnsi="Calibri" w:cs="Calibri"/>
          <w:sz w:val="22"/>
          <w:szCs w:val="22"/>
        </w:rPr>
        <w:t>.</w:t>
      </w:r>
    </w:p>
    <w:p w:rsidR="00E109B8" w:rsidRPr="00E85861" w:rsidRDefault="00E109B8" w:rsidP="00E109B8">
      <w:pPr>
        <w:spacing w:line="276" w:lineRule="auto"/>
        <w:rPr>
          <w:rFonts w:ascii="Calibri" w:hAnsi="Calibri" w:cs="Calibri"/>
          <w:sz w:val="22"/>
          <w:szCs w:val="22"/>
        </w:rPr>
      </w:pPr>
    </w:p>
    <w:p w:rsidR="00E109B8" w:rsidRPr="00E85861" w:rsidRDefault="00E109B8" w:rsidP="00E109B8">
      <w:pPr>
        <w:spacing w:line="276" w:lineRule="auto"/>
        <w:rPr>
          <w:rFonts w:ascii="Calibri" w:hAnsi="Calibri" w:cs="Calibri"/>
          <w:sz w:val="22"/>
          <w:szCs w:val="22"/>
        </w:rPr>
      </w:pPr>
      <w:r w:rsidRPr="00E85861">
        <w:rPr>
          <w:rFonts w:ascii="Calibri" w:hAnsi="Calibri" w:cs="Calibri"/>
          <w:sz w:val="22"/>
          <w:szCs w:val="22"/>
        </w:rPr>
        <w:t xml:space="preserve">This is an open book exam. You may use the book </w:t>
      </w:r>
      <w:r w:rsidRPr="00E85861">
        <w:rPr>
          <w:rFonts w:ascii="Calibri" w:hAnsi="Calibri" w:cs="Calibri"/>
          <w:i/>
          <w:sz w:val="22"/>
          <w:szCs w:val="22"/>
        </w:rPr>
        <w:t>EU Law</w:t>
      </w:r>
      <w:r w:rsidR="00BF1D5A">
        <w:rPr>
          <w:rFonts w:ascii="Calibri" w:hAnsi="Calibri" w:cs="Calibri"/>
          <w:i/>
          <w:sz w:val="22"/>
          <w:szCs w:val="22"/>
        </w:rPr>
        <w:t xml:space="preserve"> </w:t>
      </w:r>
      <w:r w:rsidR="00BF1D5A" w:rsidRPr="00BF1D5A">
        <w:rPr>
          <w:rFonts w:ascii="Calibri" w:hAnsi="Calibri" w:cs="Calibri"/>
          <w:sz w:val="22"/>
          <w:szCs w:val="22"/>
        </w:rPr>
        <w:t>(or another handbook)</w:t>
      </w:r>
      <w:r w:rsidRPr="00E85861">
        <w:rPr>
          <w:rFonts w:ascii="Calibri" w:hAnsi="Calibri" w:cs="Calibri"/>
          <w:sz w:val="22"/>
          <w:szCs w:val="22"/>
        </w:rPr>
        <w:t xml:space="preserve">, </w:t>
      </w:r>
      <w:r>
        <w:rPr>
          <w:rFonts w:ascii="Calibri" w:hAnsi="Calibri" w:cs="Calibri"/>
          <w:sz w:val="22"/>
          <w:szCs w:val="22"/>
        </w:rPr>
        <w:t xml:space="preserve">the Reader </w:t>
      </w:r>
      <w:r w:rsidRPr="00C6256E">
        <w:rPr>
          <w:rFonts w:ascii="Calibri" w:hAnsi="Calibri" w:cs="Calibri"/>
          <w:i/>
          <w:sz w:val="22"/>
          <w:szCs w:val="22"/>
        </w:rPr>
        <w:t>spm4423, 201</w:t>
      </w:r>
      <w:r>
        <w:rPr>
          <w:rFonts w:ascii="Calibri" w:hAnsi="Calibri" w:cs="Calibri"/>
          <w:i/>
          <w:sz w:val="22"/>
          <w:szCs w:val="22"/>
        </w:rPr>
        <w:t>2</w:t>
      </w:r>
      <w:r w:rsidRPr="00C6256E">
        <w:rPr>
          <w:rFonts w:ascii="Calibri" w:hAnsi="Calibri" w:cs="Calibri"/>
          <w:i/>
          <w:sz w:val="22"/>
          <w:szCs w:val="22"/>
        </w:rPr>
        <w:t>-201</w:t>
      </w:r>
      <w:r>
        <w:rPr>
          <w:rFonts w:ascii="Calibri" w:hAnsi="Calibri" w:cs="Calibri"/>
          <w:i/>
          <w:sz w:val="22"/>
          <w:szCs w:val="22"/>
        </w:rPr>
        <w:t>3</w:t>
      </w:r>
      <w:r>
        <w:rPr>
          <w:rFonts w:ascii="Calibri" w:hAnsi="Calibri" w:cs="Calibri"/>
          <w:sz w:val="22"/>
          <w:szCs w:val="22"/>
        </w:rPr>
        <w:t xml:space="preserve">, </w:t>
      </w:r>
      <w:r w:rsidRPr="00E85861">
        <w:rPr>
          <w:rFonts w:ascii="Calibri" w:hAnsi="Calibri" w:cs="Calibri"/>
          <w:sz w:val="22"/>
          <w:szCs w:val="22"/>
        </w:rPr>
        <w:t>lecture slides and lecture notes. You may also use your dictionary.</w:t>
      </w:r>
    </w:p>
    <w:p w:rsidR="00E109B8" w:rsidRPr="00E85861" w:rsidRDefault="00E109B8" w:rsidP="00E109B8">
      <w:pPr>
        <w:spacing w:line="276" w:lineRule="auto"/>
        <w:rPr>
          <w:rFonts w:ascii="Calibri" w:hAnsi="Calibri" w:cs="Calibri"/>
          <w:sz w:val="22"/>
          <w:szCs w:val="22"/>
        </w:rPr>
      </w:pPr>
    </w:p>
    <w:p w:rsidR="00E109B8" w:rsidRDefault="00E109B8" w:rsidP="00E109B8">
      <w:pPr>
        <w:spacing w:line="276" w:lineRule="auto"/>
        <w:rPr>
          <w:rFonts w:ascii="Calibri" w:hAnsi="Calibri" w:cs="Calibri"/>
          <w:sz w:val="22"/>
          <w:szCs w:val="22"/>
        </w:rPr>
      </w:pPr>
      <w:r w:rsidRPr="00E85861">
        <w:rPr>
          <w:rFonts w:ascii="Calibri" w:hAnsi="Calibri" w:cs="Calibri"/>
          <w:sz w:val="22"/>
          <w:szCs w:val="22"/>
        </w:rPr>
        <w:t xml:space="preserve">Cell phones have to be switched off and out of sight during the exam. </w:t>
      </w:r>
    </w:p>
    <w:p w:rsidR="00E109B8" w:rsidRDefault="00E109B8" w:rsidP="00E109B8">
      <w:pPr>
        <w:spacing w:line="276" w:lineRule="auto"/>
        <w:rPr>
          <w:rFonts w:ascii="Calibri" w:hAnsi="Calibri" w:cs="Calibri"/>
          <w:sz w:val="22"/>
          <w:szCs w:val="22"/>
        </w:rPr>
      </w:pPr>
    </w:p>
    <w:p w:rsidR="00E109B8" w:rsidRPr="00E85861" w:rsidRDefault="00E109B8" w:rsidP="00E109B8">
      <w:pPr>
        <w:spacing w:line="276" w:lineRule="auto"/>
        <w:rPr>
          <w:rFonts w:ascii="Calibri" w:hAnsi="Calibri" w:cs="Calibri"/>
          <w:sz w:val="22"/>
          <w:szCs w:val="22"/>
        </w:rPr>
      </w:pPr>
      <w:r>
        <w:rPr>
          <w:rFonts w:ascii="Calibri" w:hAnsi="Calibri" w:cs="Calibri"/>
          <w:sz w:val="22"/>
          <w:szCs w:val="22"/>
        </w:rPr>
        <w:t>Every suspicion of fraud will be notified to the Exam Commission.</w:t>
      </w:r>
    </w:p>
    <w:p w:rsidR="00E109B8" w:rsidRPr="00E85861" w:rsidRDefault="00E109B8" w:rsidP="00E109B8">
      <w:pPr>
        <w:spacing w:line="276" w:lineRule="auto"/>
        <w:rPr>
          <w:rFonts w:ascii="Calibri" w:hAnsi="Calibri" w:cs="Calibri"/>
          <w:sz w:val="22"/>
          <w:szCs w:val="22"/>
        </w:rPr>
      </w:pPr>
    </w:p>
    <w:p w:rsidR="00E109B8" w:rsidRPr="00E85861" w:rsidRDefault="00E109B8" w:rsidP="00E109B8">
      <w:pPr>
        <w:spacing w:line="276" w:lineRule="auto"/>
        <w:jc w:val="both"/>
        <w:rPr>
          <w:rFonts w:ascii="Calibri" w:hAnsi="Calibri" w:cs="Calibri"/>
          <w:sz w:val="22"/>
          <w:szCs w:val="22"/>
        </w:rPr>
      </w:pPr>
      <w:r w:rsidRPr="00E85861">
        <w:rPr>
          <w:rFonts w:ascii="Calibri" w:hAnsi="Calibri" w:cs="Calibri"/>
          <w:sz w:val="22"/>
          <w:szCs w:val="22"/>
        </w:rPr>
        <w:t xml:space="preserve">The results will be available not later than </w:t>
      </w:r>
      <w:r w:rsidR="00810D09">
        <w:rPr>
          <w:rFonts w:ascii="Calibri" w:hAnsi="Calibri" w:cs="Calibri"/>
          <w:sz w:val="22"/>
          <w:szCs w:val="22"/>
        </w:rPr>
        <w:t>8</w:t>
      </w:r>
      <w:r>
        <w:rPr>
          <w:rFonts w:ascii="Calibri" w:hAnsi="Calibri" w:cs="Calibri"/>
          <w:sz w:val="22"/>
          <w:szCs w:val="22"/>
        </w:rPr>
        <w:t xml:space="preserve"> May 201</w:t>
      </w:r>
      <w:r w:rsidR="00810D09">
        <w:rPr>
          <w:rFonts w:ascii="Calibri" w:hAnsi="Calibri" w:cs="Calibri"/>
          <w:sz w:val="22"/>
          <w:szCs w:val="22"/>
        </w:rPr>
        <w:t>3</w:t>
      </w:r>
      <w:r w:rsidRPr="00E85861">
        <w:rPr>
          <w:rFonts w:ascii="Calibri" w:hAnsi="Calibri" w:cs="Calibri"/>
          <w:sz w:val="22"/>
          <w:szCs w:val="22"/>
        </w:rPr>
        <w:t>.</w:t>
      </w:r>
    </w:p>
    <w:p w:rsidR="00E109B8" w:rsidRPr="00E85861" w:rsidRDefault="00E109B8" w:rsidP="00E109B8">
      <w:pPr>
        <w:spacing w:line="276" w:lineRule="auto"/>
        <w:jc w:val="both"/>
        <w:rPr>
          <w:rFonts w:ascii="Calibri" w:hAnsi="Calibri" w:cs="Calibri"/>
          <w:sz w:val="22"/>
          <w:szCs w:val="22"/>
        </w:rPr>
      </w:pPr>
    </w:p>
    <w:p w:rsidR="00E109B8" w:rsidRDefault="00E109B8" w:rsidP="00E109B8">
      <w:pPr>
        <w:spacing w:line="276" w:lineRule="auto"/>
        <w:jc w:val="both"/>
        <w:rPr>
          <w:rFonts w:ascii="Calibri" w:hAnsi="Calibri" w:cs="Calibri"/>
          <w:sz w:val="22"/>
          <w:szCs w:val="22"/>
        </w:rPr>
      </w:pPr>
      <w:r w:rsidRPr="00E85861">
        <w:rPr>
          <w:rFonts w:ascii="Calibri" w:hAnsi="Calibri" w:cs="Calibri"/>
          <w:sz w:val="22"/>
          <w:szCs w:val="22"/>
        </w:rPr>
        <w:t>Good luck!</w:t>
      </w:r>
    </w:p>
    <w:p w:rsidR="00E109B8" w:rsidRDefault="00E109B8" w:rsidP="00E109B8">
      <w:pPr>
        <w:spacing w:after="200" w:line="276" w:lineRule="auto"/>
        <w:rPr>
          <w:rFonts w:ascii="Calibri" w:hAnsi="Calibri" w:cs="Calibri"/>
          <w:sz w:val="22"/>
          <w:szCs w:val="22"/>
        </w:rPr>
      </w:pPr>
      <w:r>
        <w:rPr>
          <w:rFonts w:ascii="Calibri" w:hAnsi="Calibri" w:cs="Calibri"/>
          <w:sz w:val="22"/>
          <w:szCs w:val="22"/>
        </w:rPr>
        <w:br w:type="page"/>
      </w:r>
    </w:p>
    <w:p w:rsidR="00E109B8" w:rsidRDefault="00E109B8" w:rsidP="00E109B8">
      <w:pPr>
        <w:spacing w:after="200" w:line="276" w:lineRule="auto"/>
        <w:rPr>
          <w:rFonts w:ascii="Calibri" w:hAnsi="Calibri" w:cs="Calibri"/>
          <w:b/>
          <w:sz w:val="22"/>
          <w:szCs w:val="22"/>
        </w:rPr>
      </w:pPr>
      <w:r w:rsidRPr="00BE7FA6">
        <w:rPr>
          <w:rFonts w:ascii="Calibri" w:hAnsi="Calibri" w:cs="Calibri"/>
          <w:b/>
          <w:sz w:val="40"/>
          <w:szCs w:val="40"/>
        </w:rPr>
        <w:lastRenderedPageBreak/>
        <w:t>Question 1</w:t>
      </w:r>
    </w:p>
    <w:p w:rsidR="00E8404B" w:rsidRDefault="00E8404B" w:rsidP="00E109B8">
      <w:pPr>
        <w:spacing w:after="200" w:line="276" w:lineRule="auto"/>
        <w:rPr>
          <w:rFonts w:ascii="Calibri" w:hAnsi="Calibri" w:cs="Calibri"/>
          <w:sz w:val="22"/>
          <w:szCs w:val="22"/>
        </w:rPr>
      </w:pPr>
      <w:r w:rsidRPr="00E8404B">
        <w:rPr>
          <w:rFonts w:ascii="Calibri" w:hAnsi="Calibri" w:cs="Calibri"/>
          <w:sz w:val="22"/>
          <w:szCs w:val="22"/>
        </w:rPr>
        <w:t>Read</w:t>
      </w:r>
      <w:r w:rsidR="00A65293">
        <w:rPr>
          <w:rFonts w:ascii="Calibri" w:hAnsi="Calibri" w:cs="Calibri"/>
          <w:sz w:val="22"/>
          <w:szCs w:val="22"/>
        </w:rPr>
        <w:t xml:space="preserve"> the </w:t>
      </w:r>
      <w:r>
        <w:rPr>
          <w:rFonts w:ascii="Calibri" w:hAnsi="Calibri" w:cs="Calibri"/>
          <w:sz w:val="22"/>
          <w:szCs w:val="22"/>
        </w:rPr>
        <w:t>Annex and answer the questions below.</w:t>
      </w:r>
    </w:p>
    <w:p w:rsidR="00E8404B" w:rsidRDefault="00E8404B" w:rsidP="00E8404B">
      <w:pPr>
        <w:pStyle w:val="ListParagraph"/>
        <w:numPr>
          <w:ilvl w:val="0"/>
          <w:numId w:val="1"/>
        </w:numPr>
        <w:spacing w:after="200" w:line="276" w:lineRule="auto"/>
        <w:rPr>
          <w:rFonts w:ascii="Calibri" w:hAnsi="Calibri" w:cs="Calibri"/>
          <w:sz w:val="22"/>
          <w:szCs w:val="22"/>
        </w:rPr>
      </w:pPr>
      <w:r>
        <w:rPr>
          <w:rFonts w:ascii="Calibri" w:hAnsi="Calibri" w:cs="Calibri"/>
          <w:sz w:val="22"/>
          <w:szCs w:val="22"/>
        </w:rPr>
        <w:t>Describe, in your own words, the facts that gave rise to the dispute in case C-244/12.</w:t>
      </w:r>
    </w:p>
    <w:p w:rsidR="00E8404B" w:rsidRDefault="009A5094" w:rsidP="00E8404B">
      <w:pPr>
        <w:pStyle w:val="ListParagraph"/>
        <w:numPr>
          <w:ilvl w:val="0"/>
          <w:numId w:val="1"/>
        </w:numPr>
        <w:spacing w:after="200" w:line="276" w:lineRule="auto"/>
        <w:rPr>
          <w:rFonts w:ascii="Calibri" w:hAnsi="Calibri" w:cs="Calibri"/>
          <w:sz w:val="22"/>
          <w:szCs w:val="22"/>
        </w:rPr>
      </w:pPr>
      <w:r>
        <w:rPr>
          <w:rFonts w:ascii="Calibri" w:hAnsi="Calibri" w:cs="Calibri"/>
          <w:sz w:val="22"/>
          <w:szCs w:val="22"/>
        </w:rPr>
        <w:t xml:space="preserve">The national court does not seem to have </w:t>
      </w:r>
      <w:r w:rsidR="00E66DBF">
        <w:rPr>
          <w:rFonts w:ascii="Calibri" w:hAnsi="Calibri" w:cs="Calibri"/>
          <w:sz w:val="22"/>
          <w:szCs w:val="22"/>
        </w:rPr>
        <w:t xml:space="preserve">any (real) </w:t>
      </w:r>
      <w:r>
        <w:rPr>
          <w:rFonts w:ascii="Calibri" w:hAnsi="Calibri" w:cs="Calibri"/>
          <w:sz w:val="22"/>
          <w:szCs w:val="22"/>
        </w:rPr>
        <w:t>doubts about the outcome of the dispute. Why then does it still ask for a preliminary ruling?</w:t>
      </w:r>
    </w:p>
    <w:p w:rsidR="00E66DBF" w:rsidRDefault="00E66DBF" w:rsidP="00E8404B">
      <w:pPr>
        <w:pStyle w:val="ListParagraph"/>
        <w:numPr>
          <w:ilvl w:val="0"/>
          <w:numId w:val="1"/>
        </w:numPr>
        <w:spacing w:after="200" w:line="276" w:lineRule="auto"/>
        <w:rPr>
          <w:rFonts w:ascii="Calibri" w:hAnsi="Calibri" w:cs="Calibri"/>
          <w:sz w:val="22"/>
          <w:szCs w:val="22"/>
        </w:rPr>
      </w:pPr>
      <w:r>
        <w:rPr>
          <w:rFonts w:ascii="Calibri" w:hAnsi="Calibri" w:cs="Calibri"/>
          <w:sz w:val="22"/>
          <w:szCs w:val="22"/>
        </w:rPr>
        <w:t>Do works that change the infrastructure on an existing airport but do not extend a runway and do not lead to an extension of aircraft movements (at all) fall within the scope of Directive 85/337/EEC? Substantiate your answer.</w:t>
      </w:r>
    </w:p>
    <w:p w:rsidR="00E66DBF" w:rsidRDefault="00D77003" w:rsidP="00E8404B">
      <w:pPr>
        <w:pStyle w:val="ListParagraph"/>
        <w:numPr>
          <w:ilvl w:val="0"/>
          <w:numId w:val="1"/>
        </w:numPr>
        <w:spacing w:after="200" w:line="276" w:lineRule="auto"/>
        <w:rPr>
          <w:rFonts w:ascii="Calibri" w:hAnsi="Calibri" w:cs="Calibri"/>
          <w:sz w:val="22"/>
          <w:szCs w:val="22"/>
        </w:rPr>
      </w:pPr>
      <w:r>
        <w:rPr>
          <w:rFonts w:ascii="Calibri" w:hAnsi="Calibri" w:cs="Calibri"/>
          <w:sz w:val="22"/>
          <w:szCs w:val="22"/>
        </w:rPr>
        <w:t>Explain in your own words why the ECJ rules that the provision of Austrian law violates EU law. Refer to relevant paragraphs of the judgment.</w:t>
      </w:r>
    </w:p>
    <w:p w:rsidR="008A3C99" w:rsidRDefault="008A3C99" w:rsidP="008A3C99">
      <w:pPr>
        <w:spacing w:after="200" w:line="276" w:lineRule="auto"/>
        <w:rPr>
          <w:rFonts w:ascii="Calibri" w:hAnsi="Calibri" w:cs="Calibri"/>
          <w:sz w:val="22"/>
          <w:szCs w:val="22"/>
        </w:rPr>
      </w:pPr>
    </w:p>
    <w:p w:rsidR="008A3C99" w:rsidRPr="008A3C99" w:rsidRDefault="008A3C99" w:rsidP="008A3C99">
      <w:pPr>
        <w:spacing w:after="200" w:line="276" w:lineRule="auto"/>
        <w:rPr>
          <w:rFonts w:ascii="Calibri" w:hAnsi="Calibri" w:cs="Calibri"/>
          <w:b/>
          <w:sz w:val="40"/>
          <w:szCs w:val="40"/>
        </w:rPr>
      </w:pPr>
      <w:r w:rsidRPr="008A3C99">
        <w:rPr>
          <w:rFonts w:ascii="Calibri" w:hAnsi="Calibri" w:cs="Calibri"/>
          <w:b/>
          <w:sz w:val="40"/>
          <w:szCs w:val="40"/>
        </w:rPr>
        <w:t>Question 2</w:t>
      </w:r>
    </w:p>
    <w:p w:rsidR="008A3C99" w:rsidRDefault="006231B9" w:rsidP="008A3C99">
      <w:pPr>
        <w:spacing w:after="200" w:line="276" w:lineRule="auto"/>
        <w:rPr>
          <w:rFonts w:ascii="Calibri" w:hAnsi="Calibri" w:cs="Calibri"/>
          <w:sz w:val="22"/>
          <w:szCs w:val="22"/>
        </w:rPr>
      </w:pPr>
      <w:r>
        <w:rPr>
          <w:rFonts w:ascii="Calibri" w:hAnsi="Calibri" w:cs="Calibri"/>
          <w:sz w:val="22"/>
          <w:szCs w:val="22"/>
        </w:rPr>
        <w:t>In Flanders, Belgium</w:t>
      </w:r>
      <w:r w:rsidR="002B78FA">
        <w:rPr>
          <w:rFonts w:ascii="Calibri" w:hAnsi="Calibri" w:cs="Calibri"/>
          <w:sz w:val="22"/>
          <w:szCs w:val="22"/>
        </w:rPr>
        <w:t>,</w:t>
      </w:r>
      <w:r>
        <w:rPr>
          <w:rFonts w:ascii="Calibri" w:hAnsi="Calibri" w:cs="Calibri"/>
          <w:sz w:val="22"/>
          <w:szCs w:val="22"/>
        </w:rPr>
        <w:t xml:space="preserve"> there are certain municipalities that have a high rate of internal (persons already living in Belgium) and external (persons from other countries) migration. </w:t>
      </w:r>
      <w:r w:rsidR="001C088C">
        <w:rPr>
          <w:rFonts w:ascii="Calibri" w:hAnsi="Calibri" w:cs="Calibri"/>
          <w:sz w:val="22"/>
          <w:szCs w:val="22"/>
        </w:rPr>
        <w:t xml:space="preserve">Those municipalities cannot house all those people. </w:t>
      </w:r>
      <w:r>
        <w:rPr>
          <w:rFonts w:ascii="Calibri" w:hAnsi="Calibri" w:cs="Calibri"/>
          <w:sz w:val="22"/>
          <w:szCs w:val="22"/>
        </w:rPr>
        <w:t xml:space="preserve">In order to prioritize, </w:t>
      </w:r>
      <w:r w:rsidR="005C3B25">
        <w:rPr>
          <w:rFonts w:ascii="Calibri" w:hAnsi="Calibri" w:cs="Calibri"/>
          <w:sz w:val="22"/>
          <w:szCs w:val="22"/>
        </w:rPr>
        <w:t>the Flemish government</w:t>
      </w:r>
      <w:r>
        <w:rPr>
          <w:rFonts w:ascii="Calibri" w:hAnsi="Calibri" w:cs="Calibri"/>
          <w:sz w:val="22"/>
          <w:szCs w:val="22"/>
        </w:rPr>
        <w:t xml:space="preserve"> ha</w:t>
      </w:r>
      <w:r w:rsidR="005C3B25">
        <w:rPr>
          <w:rFonts w:ascii="Calibri" w:hAnsi="Calibri" w:cs="Calibri"/>
          <w:sz w:val="22"/>
          <w:szCs w:val="22"/>
        </w:rPr>
        <w:t>s</w:t>
      </w:r>
      <w:r>
        <w:rPr>
          <w:rFonts w:ascii="Calibri" w:hAnsi="Calibri" w:cs="Calibri"/>
          <w:sz w:val="22"/>
          <w:szCs w:val="22"/>
        </w:rPr>
        <w:t xml:space="preserve"> adopted </w:t>
      </w:r>
      <w:r w:rsidR="00C417CF">
        <w:rPr>
          <w:rFonts w:ascii="Calibri" w:hAnsi="Calibri" w:cs="Calibri"/>
          <w:sz w:val="22"/>
          <w:szCs w:val="22"/>
        </w:rPr>
        <w:t xml:space="preserve">a Decree which holds </w:t>
      </w:r>
      <w:r>
        <w:rPr>
          <w:rFonts w:ascii="Calibri" w:hAnsi="Calibri" w:cs="Calibri"/>
          <w:sz w:val="22"/>
          <w:szCs w:val="22"/>
        </w:rPr>
        <w:t>certain require</w:t>
      </w:r>
      <w:r w:rsidR="001C088C">
        <w:rPr>
          <w:rFonts w:ascii="Calibri" w:hAnsi="Calibri" w:cs="Calibri"/>
          <w:sz w:val="22"/>
          <w:szCs w:val="22"/>
        </w:rPr>
        <w:t xml:space="preserve">ments for the purchase or rent </w:t>
      </w:r>
      <w:r>
        <w:rPr>
          <w:rFonts w:ascii="Calibri" w:hAnsi="Calibri" w:cs="Calibri"/>
          <w:sz w:val="22"/>
          <w:szCs w:val="22"/>
        </w:rPr>
        <w:t>of a plot or a house within the borders</w:t>
      </w:r>
      <w:r w:rsidR="005C3B25">
        <w:rPr>
          <w:rFonts w:ascii="Calibri" w:hAnsi="Calibri" w:cs="Calibri"/>
          <w:sz w:val="22"/>
          <w:szCs w:val="22"/>
        </w:rPr>
        <w:t xml:space="preserve"> of those municipalities</w:t>
      </w:r>
      <w:r>
        <w:rPr>
          <w:rFonts w:ascii="Calibri" w:hAnsi="Calibri" w:cs="Calibri"/>
          <w:sz w:val="22"/>
          <w:szCs w:val="22"/>
        </w:rPr>
        <w:t xml:space="preserve">. </w:t>
      </w:r>
      <w:r w:rsidR="001C088C">
        <w:rPr>
          <w:rFonts w:ascii="Calibri" w:hAnsi="Calibri" w:cs="Calibri"/>
          <w:sz w:val="22"/>
          <w:szCs w:val="22"/>
        </w:rPr>
        <w:t>A purchaser or tenant has to have a sufficient tie with the municipality he or she wants to live in. That sufficient tie is present in the following three situations:</w:t>
      </w:r>
    </w:p>
    <w:p w:rsidR="001C088C" w:rsidRDefault="001C088C" w:rsidP="001C088C">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 xml:space="preserve">A person has continuously been resident in this municipality for the past six years </w:t>
      </w:r>
    </w:p>
    <w:p w:rsidR="001C088C" w:rsidRDefault="001C088C" w:rsidP="001C088C">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A person performs real economic activities for more than 20 hours a week on average in this municipality, either as a worker or as a self-employed person</w:t>
      </w:r>
    </w:p>
    <w:p w:rsidR="001C088C" w:rsidRDefault="001C088C" w:rsidP="001C088C">
      <w:pPr>
        <w:pStyle w:val="ListParagraph"/>
        <w:numPr>
          <w:ilvl w:val="0"/>
          <w:numId w:val="2"/>
        </w:numPr>
        <w:spacing w:after="200" w:line="276" w:lineRule="auto"/>
        <w:rPr>
          <w:rFonts w:ascii="Calibri" w:hAnsi="Calibri" w:cs="Calibri"/>
          <w:sz w:val="22"/>
          <w:szCs w:val="22"/>
        </w:rPr>
      </w:pPr>
      <w:r>
        <w:rPr>
          <w:rFonts w:ascii="Calibri" w:hAnsi="Calibri" w:cs="Calibri"/>
          <w:sz w:val="22"/>
          <w:szCs w:val="22"/>
        </w:rPr>
        <w:t>A person has, due to grave and long-standing circumstances, a professional, family, social or economic tie with the municipality</w:t>
      </w:r>
    </w:p>
    <w:p w:rsidR="005C3B25" w:rsidRPr="007013E1" w:rsidRDefault="005C3B25" w:rsidP="007013E1">
      <w:pPr>
        <w:pStyle w:val="PlainText"/>
        <w:spacing w:line="276" w:lineRule="auto"/>
        <w:rPr>
          <w:rFonts w:cs="Calibri"/>
          <w:szCs w:val="22"/>
          <w:lang w:val="en-US"/>
        </w:rPr>
      </w:pPr>
      <w:r w:rsidRPr="007013E1">
        <w:rPr>
          <w:rFonts w:cs="Calibri"/>
          <w:szCs w:val="22"/>
          <w:lang w:val="en-US"/>
        </w:rPr>
        <w:t xml:space="preserve">The Flemish government claims that the ratio of these criteria is </w:t>
      </w:r>
      <w:r w:rsidR="007013E1" w:rsidRPr="007013E1">
        <w:rPr>
          <w:rFonts w:cs="Calibri"/>
          <w:szCs w:val="22"/>
          <w:lang w:val="en-US"/>
        </w:rPr>
        <w:t>for reasons of urban and spatial planning</w:t>
      </w:r>
      <w:r w:rsidR="002B78FA">
        <w:rPr>
          <w:rFonts w:cs="Calibri"/>
          <w:szCs w:val="22"/>
          <w:lang w:val="en-US"/>
        </w:rPr>
        <w:t>,</w:t>
      </w:r>
      <w:r w:rsidR="007013E1" w:rsidRPr="007013E1">
        <w:rPr>
          <w:rFonts w:cs="Calibri"/>
          <w:szCs w:val="22"/>
          <w:lang w:val="en-US"/>
        </w:rPr>
        <w:t xml:space="preserve"> </w:t>
      </w:r>
      <w:r w:rsidRPr="007013E1">
        <w:rPr>
          <w:rFonts w:cs="Calibri"/>
          <w:szCs w:val="22"/>
          <w:lang w:val="en-US"/>
        </w:rPr>
        <w:t>maintaining the social en economic cohesion within the municipalities by requiring either social or economic ties with the municipality. That way, it is prevented that the plots and houses are bought by the persons that pay the highest price but do not have any link with the municipality</w:t>
      </w:r>
      <w:r w:rsidR="002B78FA">
        <w:rPr>
          <w:rFonts w:cs="Calibri"/>
          <w:szCs w:val="22"/>
          <w:lang w:val="en-US"/>
        </w:rPr>
        <w:t>,</w:t>
      </w:r>
      <w:r w:rsidR="007013E1" w:rsidRPr="007013E1">
        <w:rPr>
          <w:lang w:val="en-US"/>
        </w:rPr>
        <w:t xml:space="preserve"> </w:t>
      </w:r>
      <w:r w:rsidR="002B78FA">
        <w:rPr>
          <w:lang w:val="en-US"/>
        </w:rPr>
        <w:t xml:space="preserve">and </w:t>
      </w:r>
      <w:r w:rsidR="007013E1" w:rsidRPr="007013E1">
        <w:rPr>
          <w:lang w:val="en-US"/>
        </w:rPr>
        <w:t xml:space="preserve">also less </w:t>
      </w:r>
      <w:r w:rsidR="007013E1">
        <w:rPr>
          <w:lang w:val="en-US"/>
        </w:rPr>
        <w:t>wealthy</w:t>
      </w:r>
      <w:r w:rsidR="007013E1" w:rsidRPr="007013E1">
        <w:rPr>
          <w:lang w:val="en-US"/>
        </w:rPr>
        <w:t xml:space="preserve"> persons can buy or rent a plot or house.</w:t>
      </w:r>
      <w:r w:rsidRPr="007013E1">
        <w:rPr>
          <w:rFonts w:cs="Calibri"/>
          <w:szCs w:val="22"/>
          <w:lang w:val="en-US"/>
        </w:rPr>
        <w:t xml:space="preserve"> However, the French speaking community in Flanders argues that these requirements are only meant to maintain a Dutch speaking majority in those municipalities.</w:t>
      </w:r>
    </w:p>
    <w:p w:rsidR="007013E1" w:rsidRPr="007013E1" w:rsidRDefault="007013E1" w:rsidP="007013E1">
      <w:pPr>
        <w:pStyle w:val="PlainText"/>
        <w:spacing w:line="276" w:lineRule="auto"/>
        <w:rPr>
          <w:rFonts w:cs="Calibri"/>
          <w:szCs w:val="22"/>
          <w:lang w:val="en-US"/>
        </w:rPr>
      </w:pPr>
    </w:p>
    <w:p w:rsidR="00C417CF" w:rsidRDefault="00C417CF" w:rsidP="007013E1">
      <w:pPr>
        <w:pStyle w:val="ListParagraph"/>
        <w:numPr>
          <w:ilvl w:val="0"/>
          <w:numId w:val="3"/>
        </w:numPr>
        <w:spacing w:after="200" w:line="276" w:lineRule="auto"/>
        <w:rPr>
          <w:rFonts w:ascii="Calibri" w:hAnsi="Calibri" w:cs="Calibri"/>
          <w:sz w:val="22"/>
          <w:szCs w:val="22"/>
        </w:rPr>
      </w:pPr>
      <w:r>
        <w:rPr>
          <w:rFonts w:ascii="Calibri" w:hAnsi="Calibri" w:cs="Calibri"/>
          <w:sz w:val="22"/>
          <w:szCs w:val="22"/>
        </w:rPr>
        <w:t>Is this Flemish Decree in violation of EU law on free movement? Substantiate your answer.</w:t>
      </w:r>
    </w:p>
    <w:p w:rsidR="00C417CF" w:rsidRDefault="00C417CF" w:rsidP="007013E1">
      <w:pPr>
        <w:spacing w:after="200" w:line="276" w:lineRule="auto"/>
        <w:rPr>
          <w:rFonts w:ascii="Calibri" w:hAnsi="Calibri" w:cs="Calibri"/>
          <w:sz w:val="22"/>
          <w:szCs w:val="22"/>
        </w:rPr>
      </w:pPr>
      <w:r>
        <w:rPr>
          <w:rFonts w:ascii="Calibri" w:hAnsi="Calibri" w:cs="Calibri"/>
          <w:sz w:val="22"/>
          <w:szCs w:val="22"/>
        </w:rPr>
        <w:t xml:space="preserve">Ms. Floor </w:t>
      </w:r>
      <w:proofErr w:type="spellStart"/>
      <w:r>
        <w:rPr>
          <w:rFonts w:ascii="Calibri" w:hAnsi="Calibri" w:cs="Calibri"/>
          <w:sz w:val="22"/>
          <w:szCs w:val="22"/>
        </w:rPr>
        <w:t>Zilverpeer</w:t>
      </w:r>
      <w:proofErr w:type="spellEnd"/>
      <w:r>
        <w:rPr>
          <w:rFonts w:ascii="Calibri" w:hAnsi="Calibri" w:cs="Calibri"/>
          <w:sz w:val="22"/>
          <w:szCs w:val="22"/>
        </w:rPr>
        <w:t xml:space="preserve">, of Dutch nationality, works for the Legal Department of the European Commission. She wants to move to such a municipality to which the Decree is applicable. However, she does not fulfill the criteria, so the municipality decides that she does not have a sufficient tie with this municipality and cannot live there. </w:t>
      </w:r>
      <w:r w:rsidR="002B78FA">
        <w:rPr>
          <w:rFonts w:ascii="Calibri" w:hAnsi="Calibri" w:cs="Calibri"/>
          <w:sz w:val="22"/>
          <w:szCs w:val="22"/>
        </w:rPr>
        <w:t xml:space="preserve">A residence permit is refused. </w:t>
      </w:r>
      <w:r>
        <w:rPr>
          <w:rFonts w:ascii="Calibri" w:hAnsi="Calibri" w:cs="Calibri"/>
          <w:sz w:val="22"/>
          <w:szCs w:val="22"/>
        </w:rPr>
        <w:t xml:space="preserve">Ms. </w:t>
      </w:r>
      <w:proofErr w:type="spellStart"/>
      <w:r>
        <w:rPr>
          <w:rFonts w:ascii="Calibri" w:hAnsi="Calibri" w:cs="Calibri"/>
          <w:sz w:val="22"/>
          <w:szCs w:val="22"/>
        </w:rPr>
        <w:t>Zilverpeer</w:t>
      </w:r>
      <w:proofErr w:type="spellEnd"/>
      <w:r>
        <w:rPr>
          <w:rFonts w:ascii="Calibri" w:hAnsi="Calibri" w:cs="Calibri"/>
          <w:sz w:val="22"/>
          <w:szCs w:val="22"/>
        </w:rPr>
        <w:t xml:space="preserve"> thinks this Decree</w:t>
      </w:r>
      <w:r w:rsidR="002B78FA">
        <w:rPr>
          <w:rFonts w:ascii="Calibri" w:hAnsi="Calibri" w:cs="Calibri"/>
          <w:sz w:val="22"/>
          <w:szCs w:val="22"/>
        </w:rPr>
        <w:t xml:space="preserve">, on which the refusal of the residence permit is based, </w:t>
      </w:r>
      <w:r>
        <w:rPr>
          <w:rFonts w:ascii="Calibri" w:hAnsi="Calibri" w:cs="Calibri"/>
          <w:sz w:val="22"/>
          <w:szCs w:val="22"/>
        </w:rPr>
        <w:t>is a violation of EU law.</w:t>
      </w:r>
    </w:p>
    <w:p w:rsidR="00C417CF" w:rsidRDefault="00C417CF" w:rsidP="007013E1">
      <w:pPr>
        <w:pStyle w:val="ListParagraph"/>
        <w:numPr>
          <w:ilvl w:val="0"/>
          <w:numId w:val="3"/>
        </w:numPr>
        <w:spacing w:after="200" w:line="276" w:lineRule="auto"/>
        <w:rPr>
          <w:rFonts w:ascii="Calibri" w:hAnsi="Calibri" w:cs="Calibri"/>
          <w:sz w:val="22"/>
          <w:szCs w:val="22"/>
        </w:rPr>
      </w:pPr>
      <w:r>
        <w:rPr>
          <w:rFonts w:ascii="Calibri" w:hAnsi="Calibri" w:cs="Calibri"/>
          <w:sz w:val="22"/>
          <w:szCs w:val="22"/>
        </w:rPr>
        <w:lastRenderedPageBreak/>
        <w:t xml:space="preserve">What legal steps can Ms. </w:t>
      </w:r>
      <w:proofErr w:type="spellStart"/>
      <w:r>
        <w:rPr>
          <w:rFonts w:ascii="Calibri" w:hAnsi="Calibri" w:cs="Calibri"/>
          <w:sz w:val="22"/>
          <w:szCs w:val="22"/>
        </w:rPr>
        <w:t>Zilverpeer</w:t>
      </w:r>
      <w:proofErr w:type="spellEnd"/>
      <w:r>
        <w:rPr>
          <w:rFonts w:ascii="Calibri" w:hAnsi="Calibri" w:cs="Calibri"/>
          <w:sz w:val="22"/>
          <w:szCs w:val="22"/>
        </w:rPr>
        <w:t>, as an individual, take? Substantiate your answer by describing the steps.</w:t>
      </w:r>
    </w:p>
    <w:p w:rsidR="00C417CF" w:rsidRDefault="00C417CF" w:rsidP="00C417CF">
      <w:pPr>
        <w:pStyle w:val="ListParagraph"/>
        <w:numPr>
          <w:ilvl w:val="0"/>
          <w:numId w:val="3"/>
        </w:numPr>
        <w:spacing w:after="200" w:line="276" w:lineRule="auto"/>
        <w:rPr>
          <w:rFonts w:ascii="Calibri" w:hAnsi="Calibri" w:cs="Calibri"/>
          <w:sz w:val="22"/>
          <w:szCs w:val="22"/>
        </w:rPr>
      </w:pPr>
      <w:r>
        <w:rPr>
          <w:rFonts w:ascii="Calibri" w:hAnsi="Calibri" w:cs="Calibri"/>
          <w:sz w:val="22"/>
          <w:szCs w:val="22"/>
        </w:rPr>
        <w:t xml:space="preserve">What legal steps can Ms. </w:t>
      </w:r>
      <w:proofErr w:type="spellStart"/>
      <w:r>
        <w:rPr>
          <w:rFonts w:ascii="Calibri" w:hAnsi="Calibri" w:cs="Calibri"/>
          <w:sz w:val="22"/>
          <w:szCs w:val="22"/>
        </w:rPr>
        <w:t>Zilverpeer</w:t>
      </w:r>
      <w:proofErr w:type="spellEnd"/>
      <w:r>
        <w:rPr>
          <w:rFonts w:ascii="Calibri" w:hAnsi="Calibri" w:cs="Calibri"/>
          <w:sz w:val="22"/>
          <w:szCs w:val="22"/>
        </w:rPr>
        <w:t>, as a member of the Legal Services of the Commission, take? Substantiate your answer by describing the steps.</w:t>
      </w:r>
    </w:p>
    <w:p w:rsidR="00D85388" w:rsidRDefault="00D85388" w:rsidP="00D85388">
      <w:pPr>
        <w:spacing w:after="200" w:line="276" w:lineRule="auto"/>
        <w:rPr>
          <w:rFonts w:ascii="Calibri" w:hAnsi="Calibri" w:cs="Calibri"/>
          <w:sz w:val="22"/>
          <w:szCs w:val="22"/>
        </w:rPr>
      </w:pPr>
    </w:p>
    <w:p w:rsidR="00D85388" w:rsidRPr="00D85388" w:rsidRDefault="00D85388" w:rsidP="00D85388">
      <w:pPr>
        <w:spacing w:after="200" w:line="276" w:lineRule="auto"/>
        <w:rPr>
          <w:rFonts w:ascii="Calibri" w:hAnsi="Calibri" w:cs="Calibri"/>
          <w:b/>
          <w:sz w:val="40"/>
          <w:szCs w:val="40"/>
        </w:rPr>
      </w:pPr>
      <w:r w:rsidRPr="00D85388">
        <w:rPr>
          <w:rFonts w:ascii="Calibri" w:hAnsi="Calibri" w:cs="Calibri"/>
          <w:b/>
          <w:sz w:val="40"/>
          <w:szCs w:val="40"/>
        </w:rPr>
        <w:t>Question 3</w:t>
      </w:r>
    </w:p>
    <w:p w:rsidR="00D85388" w:rsidRDefault="00D85388" w:rsidP="00D85388">
      <w:pPr>
        <w:spacing w:after="200" w:line="276" w:lineRule="auto"/>
        <w:rPr>
          <w:rFonts w:ascii="Calibri" w:hAnsi="Calibri" w:cs="Calibri"/>
          <w:sz w:val="22"/>
          <w:szCs w:val="22"/>
        </w:rPr>
      </w:pPr>
      <w:r>
        <w:rPr>
          <w:rFonts w:ascii="Calibri" w:hAnsi="Calibri" w:cs="Calibri"/>
          <w:sz w:val="22"/>
          <w:szCs w:val="22"/>
        </w:rPr>
        <w:t xml:space="preserve">In Lithuania, there are still quite a few areas that are not connected to the digital highway. In those areas, households do not have the possibility to acquire a </w:t>
      </w:r>
      <w:r w:rsidR="000A72E2">
        <w:rPr>
          <w:rFonts w:ascii="Calibri" w:hAnsi="Calibri" w:cs="Calibri"/>
          <w:sz w:val="22"/>
          <w:szCs w:val="22"/>
        </w:rPr>
        <w:t xml:space="preserve">high speed </w:t>
      </w:r>
      <w:r>
        <w:rPr>
          <w:rFonts w:ascii="Calibri" w:hAnsi="Calibri" w:cs="Calibri"/>
          <w:sz w:val="22"/>
          <w:szCs w:val="22"/>
        </w:rPr>
        <w:t xml:space="preserve">broadband connection. </w:t>
      </w:r>
      <w:r w:rsidR="000A72E2">
        <w:rPr>
          <w:rFonts w:ascii="Calibri" w:hAnsi="Calibri" w:cs="Calibri"/>
          <w:sz w:val="22"/>
          <w:szCs w:val="22"/>
        </w:rPr>
        <w:t xml:space="preserve"> Research shows that in the coming years, it is not likely that the market will fill this gap. The existing providers (cable network operators) are not willing to construct a new infrastructure or to upgrade the</w:t>
      </w:r>
      <w:r w:rsidR="002B78FA">
        <w:rPr>
          <w:rFonts w:ascii="Calibri" w:hAnsi="Calibri" w:cs="Calibri"/>
          <w:sz w:val="22"/>
          <w:szCs w:val="22"/>
        </w:rPr>
        <w:t>ir</w:t>
      </w:r>
      <w:r w:rsidR="000A72E2">
        <w:rPr>
          <w:rFonts w:ascii="Calibri" w:hAnsi="Calibri" w:cs="Calibri"/>
          <w:sz w:val="22"/>
          <w:szCs w:val="22"/>
        </w:rPr>
        <w:t xml:space="preserve"> existing infrastructure. Because the Lithuanian government finds it very important that all households do have the possibility of high speed broadband, it decides to do something about that. It organizes an open and competitive tender procedure. Interested parties can submit a tender in order to win a subsidy. This subsidy has to be used for the construction of a glass </w:t>
      </w:r>
      <w:proofErr w:type="spellStart"/>
      <w:r w:rsidR="000A72E2">
        <w:rPr>
          <w:rFonts w:ascii="Calibri" w:hAnsi="Calibri" w:cs="Calibri"/>
          <w:sz w:val="22"/>
          <w:szCs w:val="22"/>
        </w:rPr>
        <w:t>fibre</w:t>
      </w:r>
      <w:proofErr w:type="spellEnd"/>
      <w:r w:rsidR="000A72E2">
        <w:rPr>
          <w:rFonts w:ascii="Calibri" w:hAnsi="Calibri" w:cs="Calibri"/>
          <w:sz w:val="22"/>
          <w:szCs w:val="22"/>
        </w:rPr>
        <w:t xml:space="preserve"> network in the areas that lack such an infrastructure. Authorization to build this network is attached to the subsidy, as well as authorization to exploit </w:t>
      </w:r>
      <w:r w:rsidR="00DC6BC9">
        <w:rPr>
          <w:rFonts w:ascii="Calibri" w:hAnsi="Calibri" w:cs="Calibri"/>
          <w:sz w:val="22"/>
          <w:szCs w:val="22"/>
        </w:rPr>
        <w:t>it.</w:t>
      </w:r>
    </w:p>
    <w:p w:rsidR="007013E1" w:rsidRPr="007013E1" w:rsidRDefault="00DC6BC9" w:rsidP="007013E1">
      <w:pPr>
        <w:pStyle w:val="PlainText"/>
        <w:spacing w:line="276" w:lineRule="auto"/>
        <w:rPr>
          <w:lang w:val="en-US"/>
        </w:rPr>
      </w:pPr>
      <w:r w:rsidRPr="0092153F">
        <w:rPr>
          <w:rFonts w:cs="Calibri"/>
          <w:szCs w:val="22"/>
          <w:lang w:val="en-US"/>
        </w:rPr>
        <w:t xml:space="preserve">The result of the tender procedure, in which several candidates participated, is that the subsidy will be granted to the company </w:t>
      </w:r>
      <w:proofErr w:type="spellStart"/>
      <w:r w:rsidRPr="0092153F">
        <w:rPr>
          <w:rFonts w:cs="Calibri"/>
          <w:szCs w:val="22"/>
          <w:lang w:val="en-US"/>
        </w:rPr>
        <w:t>GiFi</w:t>
      </w:r>
      <w:proofErr w:type="spellEnd"/>
      <w:r w:rsidRPr="0092153F">
        <w:rPr>
          <w:rFonts w:cs="Calibri"/>
          <w:szCs w:val="22"/>
          <w:lang w:val="en-US"/>
        </w:rPr>
        <w:t xml:space="preserve">. </w:t>
      </w:r>
      <w:r w:rsidRPr="002B78FA">
        <w:rPr>
          <w:rFonts w:cs="Calibri"/>
          <w:szCs w:val="22"/>
          <w:lang w:val="en-US"/>
        </w:rPr>
        <w:t>In the decision, a description of not only the location of the network is put down, but also of the task of providing high speed broadband services to the households.</w:t>
      </w:r>
      <w:r w:rsidR="007013E1" w:rsidRPr="002B78FA">
        <w:rPr>
          <w:rFonts w:cs="Calibri"/>
          <w:szCs w:val="22"/>
          <w:lang w:val="en-US"/>
        </w:rPr>
        <w:t xml:space="preserve"> </w:t>
      </w:r>
      <w:r w:rsidR="007013E1" w:rsidRPr="007013E1">
        <w:rPr>
          <w:lang w:val="en-US"/>
        </w:rPr>
        <w:t xml:space="preserve">The decision contains provisions on the minimum capacity of the network, the minimum coverage of areas (both were already in the documents used in the tender procedure) and the maximum tariffs that the households have to pay for the services provided. Because the government </w:t>
      </w:r>
      <w:r w:rsidR="002B78FA" w:rsidRPr="007013E1">
        <w:rPr>
          <w:lang w:val="en-US"/>
        </w:rPr>
        <w:t>foresees</w:t>
      </w:r>
      <w:r w:rsidR="007013E1" w:rsidRPr="007013E1">
        <w:rPr>
          <w:lang w:val="en-US"/>
        </w:rPr>
        <w:t xml:space="preserve"> that the service will not be profitable for at least the coming 15 years, the government and </w:t>
      </w:r>
      <w:proofErr w:type="spellStart"/>
      <w:r w:rsidR="007013E1" w:rsidRPr="007013E1">
        <w:rPr>
          <w:lang w:val="en-US"/>
        </w:rPr>
        <w:t>GiFi</w:t>
      </w:r>
      <w:proofErr w:type="spellEnd"/>
      <w:r w:rsidR="007013E1" w:rsidRPr="007013E1">
        <w:rPr>
          <w:lang w:val="en-US"/>
        </w:rPr>
        <w:t xml:space="preserve"> agree upon a yearly contribution </w:t>
      </w:r>
      <w:r w:rsidR="009A3BB8">
        <w:rPr>
          <w:lang w:val="en-US"/>
        </w:rPr>
        <w:t xml:space="preserve">(lump sum) </w:t>
      </w:r>
      <w:r w:rsidR="007013E1" w:rsidRPr="007013E1">
        <w:rPr>
          <w:lang w:val="en-US"/>
        </w:rPr>
        <w:t xml:space="preserve">of </w:t>
      </w:r>
      <w:r w:rsidR="002B78FA">
        <w:rPr>
          <w:lang w:val="en-US"/>
        </w:rPr>
        <w:t xml:space="preserve">€ </w:t>
      </w:r>
      <w:r w:rsidR="007013E1" w:rsidRPr="007013E1">
        <w:rPr>
          <w:lang w:val="en-US"/>
        </w:rPr>
        <w:t>1</w:t>
      </w:r>
      <w:r w:rsidR="002B78FA">
        <w:rPr>
          <w:lang w:val="en-US"/>
        </w:rPr>
        <w:t>.000.000</w:t>
      </w:r>
      <w:r w:rsidR="009A3BB8">
        <w:rPr>
          <w:lang w:val="en-US"/>
        </w:rPr>
        <w:t xml:space="preserve"> </w:t>
      </w:r>
      <w:r w:rsidR="007013E1" w:rsidRPr="007013E1">
        <w:rPr>
          <w:lang w:val="en-US"/>
        </w:rPr>
        <w:t>for the next 15 years.</w:t>
      </w:r>
    </w:p>
    <w:p w:rsidR="007013E1" w:rsidRPr="007013E1" w:rsidRDefault="007013E1" w:rsidP="007013E1">
      <w:pPr>
        <w:pStyle w:val="PlainText"/>
        <w:spacing w:line="276" w:lineRule="auto"/>
        <w:rPr>
          <w:lang w:val="en-US"/>
        </w:rPr>
      </w:pPr>
    </w:p>
    <w:p w:rsidR="007013E1" w:rsidRPr="007013E1" w:rsidRDefault="007013E1" w:rsidP="007013E1">
      <w:pPr>
        <w:pStyle w:val="PlainText"/>
        <w:numPr>
          <w:ilvl w:val="0"/>
          <w:numId w:val="4"/>
        </w:numPr>
        <w:spacing w:line="276" w:lineRule="auto"/>
        <w:rPr>
          <w:lang w:val="en-US"/>
        </w:rPr>
      </w:pPr>
      <w:r w:rsidRPr="007013E1">
        <w:rPr>
          <w:lang w:val="en-US"/>
        </w:rPr>
        <w:t>Was the Lithuanian government obliged to put this decision up for tender? Substantiate your answer.</w:t>
      </w:r>
    </w:p>
    <w:p w:rsidR="007013E1" w:rsidRPr="007013E1" w:rsidRDefault="007013E1" w:rsidP="007013E1">
      <w:pPr>
        <w:pStyle w:val="PlainText"/>
        <w:numPr>
          <w:ilvl w:val="0"/>
          <w:numId w:val="4"/>
        </w:numPr>
        <w:spacing w:line="276" w:lineRule="auto"/>
        <w:rPr>
          <w:lang w:val="en-US"/>
        </w:rPr>
      </w:pPr>
      <w:r w:rsidRPr="007013E1">
        <w:rPr>
          <w:lang w:val="en-US"/>
        </w:rPr>
        <w:t xml:space="preserve">Is the </w:t>
      </w:r>
      <w:r w:rsidR="0092153F">
        <w:rPr>
          <w:lang w:val="en-US"/>
        </w:rPr>
        <w:t>contribution</w:t>
      </w:r>
      <w:r w:rsidRPr="007013E1">
        <w:rPr>
          <w:lang w:val="en-US"/>
        </w:rPr>
        <w:t xml:space="preserve"> a state aid measure in the meaning of the TFEU? Substantiate your answer.</w:t>
      </w:r>
    </w:p>
    <w:p w:rsidR="007013E1" w:rsidRPr="007013E1" w:rsidRDefault="007013E1" w:rsidP="007013E1">
      <w:pPr>
        <w:pStyle w:val="PlainText"/>
        <w:numPr>
          <w:ilvl w:val="0"/>
          <w:numId w:val="4"/>
        </w:numPr>
        <w:spacing w:line="276" w:lineRule="auto"/>
        <w:rPr>
          <w:lang w:val="en-US"/>
        </w:rPr>
      </w:pPr>
      <w:r w:rsidRPr="007013E1">
        <w:rPr>
          <w:lang w:val="en-US"/>
        </w:rPr>
        <w:t>Under what conditions can the government grant the contribution?</w:t>
      </w:r>
    </w:p>
    <w:p w:rsidR="007013E1" w:rsidRPr="007013E1" w:rsidRDefault="007013E1" w:rsidP="007013E1">
      <w:pPr>
        <w:pStyle w:val="PlainText"/>
        <w:spacing w:line="276" w:lineRule="auto"/>
        <w:rPr>
          <w:lang w:val="en-US"/>
        </w:rPr>
      </w:pPr>
    </w:p>
    <w:p w:rsidR="007013E1" w:rsidRPr="007013E1" w:rsidRDefault="007013E1" w:rsidP="007013E1">
      <w:pPr>
        <w:pStyle w:val="PlainText"/>
        <w:spacing w:line="276" w:lineRule="auto"/>
        <w:rPr>
          <w:lang w:val="en-US"/>
        </w:rPr>
      </w:pPr>
      <w:r w:rsidRPr="007013E1">
        <w:rPr>
          <w:lang w:val="en-US"/>
        </w:rPr>
        <w:t xml:space="preserve">For the actual construction of the glass </w:t>
      </w:r>
      <w:proofErr w:type="spellStart"/>
      <w:r w:rsidRPr="007013E1">
        <w:rPr>
          <w:lang w:val="en-US"/>
        </w:rPr>
        <w:t>fibre</w:t>
      </w:r>
      <w:proofErr w:type="spellEnd"/>
      <w:r w:rsidRPr="007013E1">
        <w:rPr>
          <w:lang w:val="en-US"/>
        </w:rPr>
        <w:t xml:space="preserve"> network, </w:t>
      </w:r>
      <w:proofErr w:type="spellStart"/>
      <w:r w:rsidRPr="007013E1">
        <w:rPr>
          <w:lang w:val="en-US"/>
        </w:rPr>
        <w:t>GiFi</w:t>
      </w:r>
      <w:proofErr w:type="spellEnd"/>
      <w:r w:rsidRPr="007013E1">
        <w:rPr>
          <w:lang w:val="en-US"/>
        </w:rPr>
        <w:t xml:space="preserve"> decides to close a contract with a specialized building company. In order to get the best for the lowest price, </w:t>
      </w:r>
      <w:proofErr w:type="spellStart"/>
      <w:r w:rsidRPr="007013E1">
        <w:rPr>
          <w:lang w:val="en-US"/>
        </w:rPr>
        <w:t>GiFi</w:t>
      </w:r>
      <w:proofErr w:type="spellEnd"/>
      <w:r w:rsidRPr="007013E1">
        <w:rPr>
          <w:lang w:val="en-US"/>
        </w:rPr>
        <w:t xml:space="preserve"> conducts a tender procedure. The value of the work is estimated at approximately</w:t>
      </w:r>
      <w:r w:rsidR="009A3BB8">
        <w:rPr>
          <w:lang w:val="en-US"/>
        </w:rPr>
        <w:t xml:space="preserve"> € </w:t>
      </w:r>
      <w:r w:rsidRPr="007013E1">
        <w:rPr>
          <w:lang w:val="en-US"/>
        </w:rPr>
        <w:t>6.3</w:t>
      </w:r>
      <w:r w:rsidR="009A3BB8">
        <w:rPr>
          <w:lang w:val="en-US"/>
        </w:rPr>
        <w:t>00.000.</w:t>
      </w:r>
      <w:r w:rsidRPr="007013E1">
        <w:rPr>
          <w:lang w:val="en-US"/>
        </w:rPr>
        <w:t xml:space="preserve"> The restricted procedure is used. The contract will be awarded on the basis of the lowest price. Seven parties showed their interest in the contract. Four of them were invited to submit a tender. DIG offered the lowest price, so the contract was awarded to DIG. GRR, a competitor that also submitted a tender, objected to this award and started legal proceedings. The main argument of GRR was that the tender procedure </w:t>
      </w:r>
      <w:r w:rsidR="009A3BB8">
        <w:rPr>
          <w:lang w:val="en-US"/>
        </w:rPr>
        <w:t>violated the EU-directives on public procurement</w:t>
      </w:r>
      <w:r w:rsidRPr="007013E1">
        <w:rPr>
          <w:lang w:val="en-US"/>
        </w:rPr>
        <w:t>.</w:t>
      </w:r>
    </w:p>
    <w:p w:rsidR="007013E1" w:rsidRPr="007013E1" w:rsidRDefault="007013E1" w:rsidP="007013E1">
      <w:pPr>
        <w:pStyle w:val="PlainText"/>
        <w:spacing w:line="276" w:lineRule="auto"/>
        <w:rPr>
          <w:lang w:val="en-US"/>
        </w:rPr>
      </w:pPr>
    </w:p>
    <w:p w:rsidR="004D3AA3" w:rsidRPr="00615FDE" w:rsidRDefault="007013E1" w:rsidP="002B78FA">
      <w:pPr>
        <w:pStyle w:val="PlainText"/>
        <w:numPr>
          <w:ilvl w:val="0"/>
          <w:numId w:val="4"/>
        </w:numPr>
        <w:spacing w:after="200" w:line="276" w:lineRule="auto"/>
        <w:rPr>
          <w:lang w:val="en-US"/>
        </w:rPr>
      </w:pPr>
      <w:r w:rsidRPr="00615FDE">
        <w:rPr>
          <w:lang w:val="en-US"/>
        </w:rPr>
        <w:t xml:space="preserve">What </w:t>
      </w:r>
      <w:r w:rsidR="009A3BB8" w:rsidRPr="00615FDE">
        <w:rPr>
          <w:lang w:val="en-US"/>
        </w:rPr>
        <w:t>violation in the tender procedure</w:t>
      </w:r>
      <w:r w:rsidRPr="00615FDE">
        <w:rPr>
          <w:lang w:val="en-US"/>
        </w:rPr>
        <w:t xml:space="preserve"> is meant by GRR?</w:t>
      </w:r>
      <w:r w:rsidR="00615FDE">
        <w:rPr>
          <w:lang w:val="en-US"/>
        </w:rPr>
        <w:t xml:space="preserve"> </w:t>
      </w:r>
      <w:r w:rsidRPr="00615FDE">
        <w:rPr>
          <w:lang w:val="en-US"/>
        </w:rPr>
        <w:t xml:space="preserve">Will the national court rule that </w:t>
      </w:r>
      <w:proofErr w:type="spellStart"/>
      <w:r w:rsidRPr="00615FDE">
        <w:rPr>
          <w:lang w:val="en-US"/>
        </w:rPr>
        <w:t>GiFi</w:t>
      </w:r>
      <w:proofErr w:type="spellEnd"/>
      <w:r w:rsidRPr="00615FDE">
        <w:rPr>
          <w:lang w:val="en-US"/>
        </w:rPr>
        <w:t xml:space="preserve"> violated its obligations under the procurement rules? Substantiate your answer.</w:t>
      </w:r>
    </w:p>
    <w:sectPr w:rsidR="004D3AA3" w:rsidRPr="0061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66FD"/>
    <w:multiLevelType w:val="hybridMultilevel"/>
    <w:tmpl w:val="C97C51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4853E70"/>
    <w:multiLevelType w:val="hybridMultilevel"/>
    <w:tmpl w:val="B4DAC4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70591C"/>
    <w:multiLevelType w:val="hybridMultilevel"/>
    <w:tmpl w:val="A5482D2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9186B76"/>
    <w:multiLevelType w:val="hybridMultilevel"/>
    <w:tmpl w:val="A3522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0C56B42"/>
    <w:multiLevelType w:val="hybridMultilevel"/>
    <w:tmpl w:val="58DC49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A662256"/>
    <w:multiLevelType w:val="hybridMultilevel"/>
    <w:tmpl w:val="F68055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B8"/>
    <w:rsid w:val="000A72E2"/>
    <w:rsid w:val="001C088C"/>
    <w:rsid w:val="002B78FA"/>
    <w:rsid w:val="003604D9"/>
    <w:rsid w:val="003C482F"/>
    <w:rsid w:val="004D3AA3"/>
    <w:rsid w:val="005C3B25"/>
    <w:rsid w:val="00615FDE"/>
    <w:rsid w:val="006231B9"/>
    <w:rsid w:val="007013E1"/>
    <w:rsid w:val="0079034E"/>
    <w:rsid w:val="00810D09"/>
    <w:rsid w:val="008A3C99"/>
    <w:rsid w:val="0092153F"/>
    <w:rsid w:val="009A3BB8"/>
    <w:rsid w:val="009A5094"/>
    <w:rsid w:val="00A65293"/>
    <w:rsid w:val="00BF1D5A"/>
    <w:rsid w:val="00C417CF"/>
    <w:rsid w:val="00D77003"/>
    <w:rsid w:val="00D85388"/>
    <w:rsid w:val="00DC6BC9"/>
    <w:rsid w:val="00E109B8"/>
    <w:rsid w:val="00E66DBF"/>
    <w:rsid w:val="00E8404B"/>
    <w:rsid w:val="00FD6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line="276" w:lineRule="auto"/>
      <w:ind w:left="851" w:hanging="851"/>
    </w:pPr>
    <w:rPr>
      <w:rFonts w:ascii="Verdana" w:eastAsia="MS Mincho" w:hAnsi="Verdana" w:cs="Calibri"/>
      <w:b/>
      <w:bCs/>
      <w:caps/>
      <w:lang w:val="nl-NL"/>
    </w:rPr>
  </w:style>
  <w:style w:type="paragraph" w:styleId="NormalWeb">
    <w:name w:val="Normal (Web)"/>
    <w:basedOn w:val="Normal"/>
    <w:rsid w:val="00E109B8"/>
    <w:pPr>
      <w:spacing w:before="100" w:beforeAutospacing="1" w:after="100" w:afterAutospacing="1"/>
    </w:pPr>
  </w:style>
  <w:style w:type="paragraph" w:styleId="ListParagraph">
    <w:name w:val="List Paragraph"/>
    <w:basedOn w:val="Normal"/>
    <w:uiPriority w:val="34"/>
    <w:qFormat/>
    <w:rsid w:val="00E8404B"/>
    <w:pPr>
      <w:ind w:left="720"/>
      <w:contextualSpacing/>
    </w:pPr>
  </w:style>
  <w:style w:type="paragraph" w:styleId="PlainText">
    <w:name w:val="Plain Text"/>
    <w:basedOn w:val="Normal"/>
    <w:link w:val="PlainTextChar"/>
    <w:uiPriority w:val="99"/>
    <w:unhideWhenUsed/>
    <w:rsid w:val="007013E1"/>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rsid w:val="007013E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C482F"/>
    <w:pPr>
      <w:tabs>
        <w:tab w:val="right" w:pos="6804"/>
      </w:tabs>
      <w:spacing w:before="360" w:line="276" w:lineRule="auto"/>
      <w:ind w:left="851" w:hanging="851"/>
    </w:pPr>
    <w:rPr>
      <w:rFonts w:ascii="Verdana" w:eastAsia="MS Mincho" w:hAnsi="Verdana" w:cs="Calibri"/>
      <w:b/>
      <w:bCs/>
      <w:caps/>
      <w:lang w:val="nl-NL"/>
    </w:rPr>
  </w:style>
  <w:style w:type="paragraph" w:styleId="NormalWeb">
    <w:name w:val="Normal (Web)"/>
    <w:basedOn w:val="Normal"/>
    <w:rsid w:val="00E109B8"/>
    <w:pPr>
      <w:spacing w:before="100" w:beforeAutospacing="1" w:after="100" w:afterAutospacing="1"/>
    </w:pPr>
  </w:style>
  <w:style w:type="paragraph" w:styleId="ListParagraph">
    <w:name w:val="List Paragraph"/>
    <w:basedOn w:val="Normal"/>
    <w:uiPriority w:val="34"/>
    <w:qFormat/>
    <w:rsid w:val="00E8404B"/>
    <w:pPr>
      <w:ind w:left="720"/>
      <w:contextualSpacing/>
    </w:pPr>
  </w:style>
  <w:style w:type="paragraph" w:styleId="PlainText">
    <w:name w:val="Plain Text"/>
    <w:basedOn w:val="Normal"/>
    <w:link w:val="PlainTextChar"/>
    <w:uiPriority w:val="99"/>
    <w:unhideWhenUsed/>
    <w:rsid w:val="007013E1"/>
    <w:rPr>
      <w:rFonts w:ascii="Calibri" w:eastAsiaTheme="minorHAnsi" w:hAnsi="Calibri" w:cstheme="minorBidi"/>
      <w:sz w:val="22"/>
      <w:szCs w:val="21"/>
      <w:lang w:val="nl-NL"/>
    </w:rPr>
  </w:style>
  <w:style w:type="character" w:customStyle="1" w:styleId="PlainTextChar">
    <w:name w:val="Plain Text Char"/>
    <w:basedOn w:val="DefaultParagraphFont"/>
    <w:link w:val="PlainText"/>
    <w:uiPriority w:val="99"/>
    <w:rsid w:val="007013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8961">
      <w:bodyDiv w:val="1"/>
      <w:marLeft w:val="0"/>
      <w:marRight w:val="0"/>
      <w:marTop w:val="0"/>
      <w:marBottom w:val="0"/>
      <w:divBdr>
        <w:top w:val="none" w:sz="0" w:space="0" w:color="auto"/>
        <w:left w:val="none" w:sz="0" w:space="0" w:color="auto"/>
        <w:bottom w:val="none" w:sz="0" w:space="0" w:color="auto"/>
        <w:right w:val="none" w:sz="0" w:space="0" w:color="auto"/>
      </w:divBdr>
    </w:div>
    <w:div w:id="12374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6B4EA291</Template>
  <TotalTime>0</TotalTime>
  <Pages>3</Pages>
  <Words>1105</Words>
  <Characters>6079</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Saanen - TBM</dc:creator>
  <cp:lastModifiedBy>Viktor Stelder</cp:lastModifiedBy>
  <cp:revision>2</cp:revision>
  <dcterms:created xsi:type="dcterms:W3CDTF">2013-07-18T10:22:00Z</dcterms:created>
  <dcterms:modified xsi:type="dcterms:W3CDTF">2013-07-18T10:22:00Z</dcterms:modified>
</cp:coreProperties>
</file>